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CD689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CD689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DF0C9E" w:rsidRPr="00E02542" w:rsidTr="009E6237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31.048</w:t>
            </w:r>
          </w:p>
        </w:tc>
        <w:tc>
          <w:tcPr>
            <w:tcW w:w="1006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31.05</w:t>
            </w:r>
          </w:p>
        </w:tc>
        <w:tc>
          <w:tcPr>
            <w:tcW w:w="1080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30.93</w:t>
            </w:r>
          </w:p>
        </w:tc>
      </w:tr>
      <w:tr w:rsidR="00DF0C9E" w:rsidRPr="00E02542" w:rsidTr="009E6237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6.863</w:t>
            </w:r>
          </w:p>
        </w:tc>
        <w:tc>
          <w:tcPr>
            <w:tcW w:w="1006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6.8853</w:t>
            </w:r>
          </w:p>
        </w:tc>
        <w:tc>
          <w:tcPr>
            <w:tcW w:w="1080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6.8625</w:t>
            </w:r>
          </w:p>
        </w:tc>
      </w:tr>
      <w:tr w:rsidR="00DF0C9E" w:rsidRPr="00E02542" w:rsidTr="009E6237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6.8352</w:t>
            </w:r>
          </w:p>
        </w:tc>
        <w:tc>
          <w:tcPr>
            <w:tcW w:w="1006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6.8395</w:t>
            </w:r>
          </w:p>
        </w:tc>
        <w:tc>
          <w:tcPr>
            <w:tcW w:w="1080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6.7953</w:t>
            </w:r>
          </w:p>
        </w:tc>
      </w:tr>
      <w:tr w:rsidR="00DF0C9E" w:rsidRPr="00E02542" w:rsidTr="009E6237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112.39</w:t>
            </w:r>
          </w:p>
        </w:tc>
        <w:tc>
          <w:tcPr>
            <w:tcW w:w="1006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112.58</w:t>
            </w:r>
          </w:p>
        </w:tc>
        <w:tc>
          <w:tcPr>
            <w:tcW w:w="1080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111.6</w:t>
            </w:r>
          </w:p>
        </w:tc>
      </w:tr>
      <w:tr w:rsidR="00DF0C9E" w:rsidRPr="00E02542" w:rsidTr="009E6237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1.0683</w:t>
            </w:r>
          </w:p>
        </w:tc>
        <w:tc>
          <w:tcPr>
            <w:tcW w:w="1006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1.075</w:t>
            </w:r>
          </w:p>
        </w:tc>
        <w:tc>
          <w:tcPr>
            <w:tcW w:w="1080" w:type="dxa"/>
            <w:shd w:val="clear" w:color="auto" w:fill="FFFFCC"/>
          </w:tcPr>
          <w:p w:rsidR="00DF0C9E" w:rsidRPr="00647ED4" w:rsidRDefault="00DF0C9E" w:rsidP="00DF0C9E">
            <w:pPr>
              <w:pStyle w:val="ad"/>
            </w:pPr>
            <w:r w:rsidRPr="00647ED4">
              <w:t>1.0656</w:t>
            </w:r>
          </w:p>
        </w:tc>
      </w:tr>
      <w:tr w:rsidR="00DF0C9E" w:rsidRPr="00E02542" w:rsidTr="009E6237">
        <w:trPr>
          <w:trHeight w:hRule="exact" w:val="312"/>
        </w:trPr>
        <w:tc>
          <w:tcPr>
            <w:tcW w:w="1419" w:type="dxa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0.7628</w:t>
            </w:r>
          </w:p>
        </w:tc>
        <w:tc>
          <w:tcPr>
            <w:tcW w:w="1006" w:type="dxa"/>
            <w:shd w:val="clear" w:color="auto" w:fill="auto"/>
          </w:tcPr>
          <w:p w:rsidR="00DF0C9E" w:rsidRPr="00647ED4" w:rsidRDefault="00DF0C9E" w:rsidP="00DF0C9E">
            <w:pPr>
              <w:pStyle w:val="ad"/>
            </w:pPr>
            <w:r w:rsidRPr="00647ED4">
              <w:t>0.7681</w:t>
            </w:r>
          </w:p>
        </w:tc>
        <w:tc>
          <w:tcPr>
            <w:tcW w:w="1080" w:type="dxa"/>
            <w:shd w:val="clear" w:color="auto" w:fill="auto"/>
          </w:tcPr>
          <w:p w:rsidR="00DF0C9E" w:rsidRDefault="00DF0C9E" w:rsidP="00DF0C9E">
            <w:pPr>
              <w:pStyle w:val="ad"/>
            </w:pPr>
            <w:r w:rsidRPr="00647ED4">
              <w:t>0.7606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0.03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0.65922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-0.00011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5.1367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-0.7256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5.14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-0.2969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0.8596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-0.008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1.0965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-0.0035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0.8205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-0.0035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1.152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-0.0105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2.281</w:t>
            </w:r>
          </w:p>
        </w:tc>
        <w:tc>
          <w:tcPr>
            <w:tcW w:w="1080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0.003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3.9304</w:t>
            </w:r>
          </w:p>
        </w:tc>
        <w:tc>
          <w:tcPr>
            <w:tcW w:w="1080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0.0273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4.016</w:t>
            </w:r>
          </w:p>
        </w:tc>
        <w:tc>
          <w:tcPr>
            <w:tcW w:w="1080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0.0663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3.219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-0.022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3.474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-0.023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0.68833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-0.00445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1.03844</w:t>
            </w:r>
          </w:p>
        </w:tc>
        <w:tc>
          <w:tcPr>
            <w:tcW w:w="1080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0.00444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DF0C9E" w:rsidRPr="003F6BDA" w:rsidRDefault="00DF0C9E" w:rsidP="00DF0C9E">
            <w:pPr>
              <w:pStyle w:val="ad"/>
            </w:pPr>
            <w:r w:rsidRPr="003F6BDA">
              <w:t>2.3931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-0.0183</w:t>
            </w:r>
          </w:p>
        </w:tc>
      </w:tr>
      <w:tr w:rsidR="00DF0C9E" w:rsidRPr="00C47FE8" w:rsidTr="00E621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DF0C9E" w:rsidRPr="003F6BDA" w:rsidRDefault="00DF0C9E" w:rsidP="00DF0C9E">
            <w:pPr>
              <w:pStyle w:val="ad"/>
            </w:pPr>
            <w:r w:rsidRPr="003F6BDA">
              <w:t>3.0179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-0.0351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F0C9E" w:rsidRPr="006F3ADE" w:rsidTr="004D533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DF0C9E" w:rsidRPr="0075487B" w:rsidRDefault="00DF0C9E" w:rsidP="00DF0C9E">
            <w:pPr>
              <w:pStyle w:val="ad"/>
            </w:pPr>
            <w:r w:rsidRPr="0075487B">
              <w:t>55.05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-0.5</w:t>
            </w:r>
          </w:p>
        </w:tc>
      </w:tr>
      <w:tr w:rsidR="00DF0C9E" w:rsidRPr="006F3ADE" w:rsidTr="004D533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DF0C9E" w:rsidRPr="0075487B" w:rsidRDefault="00DF0C9E" w:rsidP="00DF0C9E">
            <w:pPr>
              <w:pStyle w:val="ad"/>
            </w:pPr>
            <w:r w:rsidRPr="0075487B">
              <w:t>52.17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-0.63</w:t>
            </w:r>
          </w:p>
        </w:tc>
      </w:tr>
      <w:tr w:rsidR="00DF0C9E" w:rsidRPr="006F3ADE" w:rsidTr="004D533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DF0C9E" w:rsidRPr="0075487B" w:rsidRDefault="00DF0C9E" w:rsidP="00DF0C9E">
            <w:pPr>
              <w:pStyle w:val="ad"/>
            </w:pPr>
            <w:r w:rsidRPr="0075487B">
              <w:t>1233.85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-0.06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DF0C9E" w:rsidRPr="006F3ADE" w:rsidTr="00331244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20090.29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37.87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5674.217</w:t>
            </w:r>
          </w:p>
        </w:tc>
        <w:tc>
          <w:tcPr>
            <w:tcW w:w="1080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10.665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2293.08</w:t>
            </w:r>
          </w:p>
        </w:tc>
        <w:tc>
          <w:tcPr>
            <w:tcW w:w="1080" w:type="dxa"/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0.52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11549.44</w:t>
            </w:r>
          </w:p>
        </w:tc>
        <w:tc>
          <w:tcPr>
            <w:tcW w:w="1080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39.6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3305.801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-4.096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23348.24</w:t>
            </w:r>
          </w:p>
        </w:tc>
        <w:tc>
          <w:tcPr>
            <w:tcW w:w="1080" w:type="dxa"/>
            <w:shd w:val="clear" w:color="auto" w:fill="FFFFCC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-16.67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9554.56</w:t>
            </w:r>
          </w:p>
        </w:tc>
        <w:tc>
          <w:tcPr>
            <w:tcW w:w="1080" w:type="dxa"/>
            <w:shd w:val="clear" w:color="auto" w:fill="auto"/>
          </w:tcPr>
          <w:p w:rsidR="00DF0C9E" w:rsidRPr="00DF0C9E" w:rsidRDefault="00DF0C9E" w:rsidP="00DF0C9E">
            <w:pPr>
              <w:pStyle w:val="ad"/>
              <w:rPr>
                <w:color w:val="FF0000"/>
              </w:rPr>
            </w:pPr>
            <w:r w:rsidRPr="00DF0C9E">
              <w:rPr>
                <w:color w:val="FF0000"/>
              </w:rPr>
              <w:t>-34.82</w:t>
            </w:r>
          </w:p>
        </w:tc>
      </w:tr>
      <w:tr w:rsidR="00DF0C9E" w:rsidRPr="00745739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18910.78</w:t>
            </w:r>
          </w:p>
        </w:tc>
        <w:tc>
          <w:tcPr>
            <w:tcW w:w="1080" w:type="dxa"/>
            <w:shd w:val="clear" w:color="auto" w:fill="FFFFCC"/>
          </w:tcPr>
          <w:p w:rsidR="00DF0C9E" w:rsidRPr="00E5244D" w:rsidRDefault="00DF0C9E" w:rsidP="00DF0C9E">
            <w:pPr>
              <w:pStyle w:val="ad"/>
            </w:pPr>
            <w:r w:rsidRPr="00E5244D">
              <w:t>57.17</w:t>
            </w:r>
          </w:p>
        </w:tc>
      </w:tr>
      <w:tr w:rsidR="00DF0C9E" w:rsidRPr="006F3ADE" w:rsidTr="0033124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DF0C9E" w:rsidRPr="00915E2A" w:rsidRDefault="00DF0C9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DF0C9E" w:rsidRPr="00E5244D" w:rsidRDefault="00DF0C9E" w:rsidP="00DF0C9E">
            <w:pPr>
              <w:pStyle w:val="ad"/>
            </w:pPr>
            <w:r w:rsidRPr="00E5244D">
              <w:t>2075.21</w:t>
            </w:r>
          </w:p>
        </w:tc>
        <w:tc>
          <w:tcPr>
            <w:tcW w:w="1080" w:type="dxa"/>
            <w:shd w:val="clear" w:color="auto" w:fill="auto"/>
          </w:tcPr>
          <w:p w:rsidR="00DF0C9E" w:rsidRDefault="00DF0C9E" w:rsidP="00DF0C9E">
            <w:pPr>
              <w:pStyle w:val="ad"/>
            </w:pPr>
            <w:r w:rsidRPr="00DF0C9E">
              <w:rPr>
                <w:color w:val="FF0000"/>
              </w:rPr>
              <w:t>-20.36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AB570C" w:rsidRDefault="00AC057A" w:rsidP="00AC057A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渣打銀行公佈的一項專有指數顯示，主要國際金融中心的人民幣使用量去年減少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10.5%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，在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月降至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29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個月低位。渣打銀行表示，中國當局採取的管控措施也抑制了離岸人民幣的使用。該行並表示，“資本管控加強、揮之不去的當局干預疑慮以及貶值預期，令真正的離岸人民幣使用者保持謹慎”。</w:t>
      </w:r>
      <w:r w:rsidR="00B269FF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E2548D" w:rsidRDefault="00AC057A" w:rsidP="00B269F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4CDAE6" wp14:editId="5E76977A">
                <wp:simplePos x="0" y="0"/>
                <wp:positionH relativeFrom="column">
                  <wp:posOffset>-86360</wp:posOffset>
                </wp:positionH>
                <wp:positionV relativeFrom="paragraph">
                  <wp:posOffset>646067</wp:posOffset>
                </wp:positionV>
                <wp:extent cx="3414395" cy="546735"/>
                <wp:effectExtent l="0" t="0" r="71755" b="8191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735"/>
                          <a:chOff x="-58004" y="8046040"/>
                          <a:chExt cx="3416735" cy="560932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152252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04604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50.85pt;width:268.85pt;height:43.05pt;z-index:251686912;mso-width-relative:margin;mso-height-relative:margin" coordorigin="-580,80460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nigYAAIITAAAOAAAAZHJzL2Uyb0RvYy54bWzsWE+P20QUvyPxHUY+gtJ4/N9Rs1V3s1lV&#10;KlCpQZwnthNb2B7jcTZpEReEhCj3InED9YTEkUMP8G22Fd+C92Y8jp1uoqrAAYldKbE9P7957/f+&#10;zHu5e29X5OQ6qUXGy6lB75gGScqIx1m5nhqfLuajwCCiYWXMcl4mU+NJIox7Z++/d3dbTRKLpzyP&#10;k5qAkFJMttXUSJummozHIkqTgok7vEpKWFzxumAN3NbrcVyzLUgv8rFlmt54y+u4qnmUCAFPZ2rR&#10;OJPyV6skaj5ZrUTSkHxqgG6N/Kzl5xI/x2d32WRdsyrNolYN9g5aFCwrYdNO1Iw1jGzq7A1RRRbV&#10;XPBVcyfixZivVlmUSBvAGmoeWHNV800lbVlPtuuqowmoPeDpncVGH18/qkkWTw3XICUrwEWv/3jx&#10;+rdviIvcbKv1BCBXdfW4elS3D9bqDs3dreoCv8EQspOsPulYTXYNieCh7VDHDkF8BGuu4/m2FM0m&#10;UQq+wddGbmCajkFgPTAdz3Rav0Tp5V6GfE/J8MzQtlC9sdZgjIp2em0rCCax50v8Pb4ep6xKpBsE&#10;ktHyZWm+Xn33/euXv9y8+PHPr5/d/P4zobZiToKRNiRIVA959LkgJb+Ms+YRz8oGtKIgg1+krFwn&#10;9+uab9OExfIx2oZWwHZKAt4IkEWW2494DF5im4bLiDtwwYiGjg+RjlxS17JcSRSbdN6w/QBCTXnD&#10;cR3fkmR3TIJbNqK5Srj0K7t+KBpQBgI7hit10cbJFeyyKnJIlw9HxMR/tBuRGgC7dIDAM/1bMItO&#10;yAdjQk2IA7IlFvXMQ2GLThgATZLeDgKnqB0l6IgkuwcKPDs4JgwishMm1T8iD0K7w0nVjwn0esCT&#10;tvp9oG/5/jGJUF0Ptj6iY9gDnrKZDvzhexBMlknAHeAYz3Vt78DHC9r3C6V+6DnB6Rf6PnKDMLCc&#10;0/i+u94G33fbacl9x1HHPRp5A78B7kjw0b7bLOqY4VGJfb9Rn5peXybkYpdtLNUJGO3KNgPhikDJ&#10;mBoL8BZmXMUFllHMJUh7yBRVGgGHqz04HcDBEQiX5Qr2fBNuDeCqQC9k8b4Vbg/gQBpK948q4wzg&#10;wAjCwz5c7dJaXcNZjqf4goLb4BxfUNgBTvIF0g5n+YIGKjYr1iBpkhi4JNupoQoKSfUVrhX8Ollw&#10;iWqQPReOFFRBl8P9erRZZtF58rSPtmylcFumKilC8Y9LshD2H6L01isDaXnZl6oEUM93NMt6/TYd&#10;WrRv2pI1iAOphVaNYuHoa6It7BaQ3xPaWJ4FuQeU9F/QCulvtSeWRwntSjfI1hD9raCeiw58K6kW&#10;NdHJR7BD1VvbqQ1kDN7oaJGHilo6ZGy/1KN+KH9oRBtQoNnesRoxfE/rhScabn4QHVan8CCS9pbr&#10;cBxKjXIuEhVPGO6yE+riXrp1f4ZDdxvPszwnNW8+y5pUtjPYe2Dsr0WbKmtBoIxg+ONjUa+XF3lN&#10;rhlknO2581AXlbVQryk0xYPh+CsSyoqCyXwQKYsTJdLxLL/tArPy+qqFgOLtxtIg3AoedSrmWVv3&#10;XEdtS0TE8gR610651lTcN5fFr+RoumJKPUnkVNBazTdNUj9O4y2JMwFFhZq+70HQxxlUFstvt2H5&#10;GoabqKmh4Aw4vMXyAHqYQDutEy8NGewM/VirA3ZmclT4MqRwFp5b4WjuBf7ImTvuKPTNYGTS8DyE&#10;tjh0ZvOv0D/UmaRZHCflw6xM9NhCnbdrc9sBSg0ccnDBEhm6lqtcz/NMxguSOIgDyYY2TfRhRQY0&#10;kjwrsIHHP1V2sJ29LGPp/IZluboeD9VX1OygXoOvNSuy+cV+F0cQMVny+An0vkC+nDFg3oSLlNdP&#10;DbKF2W1qiC82rE4Mkj8oIYZD6sAIQRp547jY4pK6v7Lsr7AyAlFTozHgVMXLiwbu4JVNVWfrFHZS&#10;qVLy+9BzrzLsh6V+Sqv2BuYNpeu/PnjAOawGtVfPv7359YdXz1/e/PRMj2vdyECa3TmHY03pvh8/&#10;/uFp48jkpqcN6gUOtI3ttOHB4KZTVY8tVa0qFcGLqYGnvAxDPXlAUGgIBmSXzycS/LbMMsPL4DJw&#10;Ro7lXY4cczYb3Z9fOCNvTn13Zs8uLmZ0mFmyYqrfJSBe3zWzZA71M2WQUHP51/YFvYTqZQiqoTMD&#10;hf1fLCQHmhJZQg+KRbNb7uQvGt0c/l8pH2CI/KFHWtf+KIW/JPXv4br/09nZXwAAAP//AwBQSwME&#10;FAAGAAgAAAAhAL79nxPhAAAACwEAAA8AAABkcnMvZG93bnJldi54bWxMj8FqwkAQhu+FvsMyhd50&#10;s1o1xGxEpO1JCtVC8TYmYxLM7obsmsS37/TUHmf+j3++STejaURPna+d1aCmEQiyuStqW2r4Or5N&#10;YhA+oC2wcZY03MnDJnt8SDEp3GA/qT+EUnCJ9QlqqEJoEyl9XpFBP3UtWc4urjMYeOxKWXQ4cLlp&#10;5CyKltJgbflChS3tKsqvh5vR8D7gsJ2r135/vezup+Pi43uvSOvnp3G7BhFoDH8w/OqzOmTsdHY3&#10;W3jRaJio+ZJRDiK1AsHEYvaiQJx5E69ikFkq//+Q/QAAAP//AwBQSwECLQAUAAYACAAAACEAtoM4&#10;kv4AAADhAQAAEwAAAAAAAAAAAAAAAAAAAAAAW0NvbnRlbnRfVHlwZXNdLnhtbFBLAQItABQABgAI&#10;AAAAIQA4/SH/1gAAAJQBAAALAAAAAAAAAAAAAAAAAC8BAABfcmVscy8ucmVsc1BLAQItABQABgAI&#10;AAAAIQBA4kCnigYAAIITAAAOAAAAAAAAAAAAAAAAAC4CAABkcnMvZTJvRG9jLnhtbFBLAQItABQA&#10;BgAIAAAAIQC+/Z8T4QAAAAsBAAAPAAAAAAAAAAAAAAAAAOQIAABkcnMvZG93bnJldi54bWxQSwUG&#10;AAAAAAQABADzAAAA8gkAAAAA&#10;">
                <v:shape id="手繪多邊形 13" o:spid="_x0000_s1030" style="position:absolute;left:-194;top:8152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80460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AC057A">
        <w:rPr>
          <w:rFonts w:asciiTheme="minorHAnsi" w:eastAsia="標楷體" w:hAnsiTheme="minorHAnsi" w:hint="eastAsia"/>
          <w:noProof/>
          <w:sz w:val="16"/>
          <w:szCs w:val="16"/>
        </w:rPr>
        <w:t>月貿易逆差收窄，因出口升至近一年半高點，受技術產品創紀錄提振，但國內需求增長直指進口進一步增加，可能會限制經濟增長。</w:t>
      </w:r>
    </w:p>
    <w:p w:rsidR="00AC057A" w:rsidRPr="00AC057A" w:rsidRDefault="00AC057A" w:rsidP="00B269F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B269FF" w:rsidRDefault="00B269FF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99504B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9504B" w:rsidRPr="0099504B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幣兌美元週二收貶逾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角。儘管台股高檔持穩，但韓元走弱，外資反手買匯，令台幣自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20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個月高位拉回貶破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大關。外商銀昨日在匯市方向不一致，上午仍有不少拋匯，不過午後外商銀的買盤就明顯增多。而在台幣貶破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大關後，也引發出口商不少美元賣盤出籠。昨日外資動作分歧，不若先前持續匯入，也許意味著台幣走向雖不必然趨貶，但未來升幅或可能受限，未來將持續關注外資動向及其他亞幣的表現。預計今天成交區間在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30.900~31.100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253A9" w:rsidRPr="005253A9">
        <w:rPr>
          <w:rFonts w:asciiTheme="minorHAnsi" w:eastAsia="標楷體" w:hAnsiTheme="minorHAnsi" w:hint="eastAsia"/>
          <w:noProof/>
          <w:sz w:val="16"/>
          <w:szCs w:val="16"/>
        </w:rPr>
        <w:t>臺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灣銀行間短率周二持穩低檔。提存期初資金雖然寬鬆，但感覺分配不均，除大型龍頭銀行因政府基金走錢沒開門外，行庫也為了因應明日國庫借款拆入資金，利率則持穩在既有水準。人民幣市場部分，隔拆利率在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1.30%-2.30%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 xml:space="preserve"> 2,280 -2,420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A2617B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AB570C" w:rsidRPr="00AB570C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二美國公佈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12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月貿易數據好於預期，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12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月贸易逆差收窄，因出口升至近一年半高點，股市小幅上揚，債券市場區間震盪整理，終場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10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年期美債利率下滑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1.5bps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2.393%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30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年期利率下</w:t>
      </w:r>
      <w:bookmarkStart w:id="0" w:name="_GoBack"/>
      <w:bookmarkEnd w:id="0"/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滑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3bps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3.018%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，今日市場無重要數據公布，美債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10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年利率目前於</w:t>
      </w:r>
      <w:r w:rsidR="00AC057A" w:rsidRPr="00AC057A">
        <w:rPr>
          <w:rFonts w:asciiTheme="minorHAnsi" w:eastAsia="標楷體" w:hAnsiTheme="minorHAnsi"/>
          <w:noProof/>
          <w:sz w:val="16"/>
          <w:szCs w:val="16"/>
        </w:rPr>
        <w:t>2.40%</w:t>
      </w:r>
      <w:r w:rsidR="00AC057A" w:rsidRPr="00AC057A">
        <w:rPr>
          <w:rFonts w:asciiTheme="minorHAnsi" w:eastAsia="標楷體" w:hAnsiTheme="minorHAnsi" w:hint="eastAsia"/>
          <w:noProof/>
          <w:sz w:val="16"/>
          <w:szCs w:val="16"/>
        </w:rPr>
        <w:t>附近震盪整理，若向下突破整體偏空走勢可能趨於區間震盪。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B07F0" w:rsidRPr="00BB07F0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二離岸人民幣走貶，從本波高點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6.80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貶值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300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多點，來到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6.8342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，目前接近從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6.90-6.87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所形成之下降趨勢線，估計突破上檔難度高，先看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6.855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壓力關卡。離岸人民幣換匯點變化不大，一個月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235(+0)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2405(-15)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。期貨週二成交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1175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0.40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2612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0.88</w:t>
      </w:r>
      <w:r w:rsidR="00B82BFA" w:rsidRPr="00B82BFA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5D69F0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02/07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$3.67b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$3.50b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$4.86b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8.00%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14.00%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10.40%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8.40%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13.20%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-$45.0b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-$44.3b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-$45.2b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$3003.5b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$2998.2b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$3010.5b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2.25%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WPI(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2.72%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1.41%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3-Feb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-3.20%</w:t>
            </w:r>
          </w:p>
        </w:tc>
      </w:tr>
      <w:tr w:rsidR="005D69F0" w:rsidRPr="005D69F0" w:rsidTr="005D69F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02/08-02/18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F0" w:rsidRPr="005D69F0" w:rsidRDefault="005D69F0" w:rsidP="005D69F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D69F0">
              <w:rPr>
                <w:rFonts w:ascii="Tahoma" w:hAnsi="Tahoma" w:cs="Tahoma" w:hint="eastAsia"/>
                <w:color w:val="000000"/>
                <w:sz w:val="20"/>
                <w:szCs w:val="20"/>
              </w:rPr>
              <w:t>5.70%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2EC8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253A9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F361-701A-4EEE-AA06-1EF430AA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3</cp:revision>
  <cp:lastPrinted>2015-08-07T06:27:00Z</cp:lastPrinted>
  <dcterms:created xsi:type="dcterms:W3CDTF">2017-02-08T02:02:00Z</dcterms:created>
  <dcterms:modified xsi:type="dcterms:W3CDTF">2017-02-08T02:04:00Z</dcterms:modified>
</cp:coreProperties>
</file>