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11033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B11033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30.865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30.889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30.81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6.9131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6.9144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6.8988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6.9162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6.9215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6.8918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114.35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114.75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113.61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1.0541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1.0574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1.0535</w:t>
            </w:r>
          </w:p>
        </w:tc>
      </w:tr>
      <w:tr w:rsidR="000E52AA" w:rsidRPr="00E02542" w:rsidTr="0013709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0.7528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0.7609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0.7526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-0.002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0.65944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4.5633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0.0693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5.0367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0.004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0.8984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0.0184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0.02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0.024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0.042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2.4061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0.002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4.1052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0.0036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4.2932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0.0014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3.206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0.012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3.411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0.043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0.68278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1.10622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2.5597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0.0454</w:t>
            </w:r>
          </w:p>
        </w:tc>
      </w:tr>
      <w:tr w:rsidR="000E52AA" w:rsidRPr="00C47FE8" w:rsidTr="00A94AB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3.1489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0.0312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E52AA" w:rsidRPr="006F3ADE" w:rsidTr="005A567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53.11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0.42</w:t>
            </w:r>
          </w:p>
        </w:tc>
      </w:tr>
      <w:tr w:rsidR="000E52AA" w:rsidRPr="006F3ADE" w:rsidTr="005A5678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50.28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0.33</w:t>
            </w:r>
          </w:p>
        </w:tc>
      </w:tr>
      <w:tr w:rsidR="000E52AA" w:rsidRPr="006F3ADE" w:rsidTr="005A567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1208.31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-1.33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0E52AA" w:rsidRPr="006F3ADE" w:rsidTr="00873BBF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20855.73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-69.03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5837.552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3.623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2362.98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-5.41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11967.31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1.17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3395.2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-1.792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23782.27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-114.5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9753.45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FF0000"/>
                <w:sz w:val="18"/>
                <w:szCs w:val="18"/>
              </w:rPr>
              <w:t>-78.52</w:t>
            </w:r>
          </w:p>
        </w:tc>
      </w:tr>
      <w:tr w:rsidR="000E52AA" w:rsidRPr="00745739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19254.03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44.67</w:t>
            </w:r>
          </w:p>
        </w:tc>
      </w:tr>
      <w:tr w:rsidR="000E52AA" w:rsidRPr="006F3ADE" w:rsidTr="00873BB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0E52AA" w:rsidRPr="00915E2A" w:rsidRDefault="000E52A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2095.41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E52AA" w:rsidRPr="000E52AA" w:rsidRDefault="000E52AA" w:rsidP="000E52A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52AA">
              <w:rPr>
                <w:rFonts w:ascii="Tahoma" w:hAnsi="Tahoma" w:cs="Tahoma"/>
                <w:color w:val="000000"/>
                <w:sz w:val="18"/>
                <w:szCs w:val="18"/>
              </w:rPr>
              <w:t>2.01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8A3FD7" w:rsidRPr="008A3FD7" w:rsidRDefault="008A3FD7" w:rsidP="008A3F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月民間就業人數急升，表明經濟基本面仍然穩固。上月民間就業人數增加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29.8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萬人，遠高於經濟學家預計的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19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萬人。</w:t>
      </w:r>
      <w:r w:rsidR="00D57266">
        <w:rPr>
          <w:rFonts w:asciiTheme="minorHAnsi" w:eastAsia="標楷體" w:hAnsiTheme="minorHAnsi" w:hint="eastAsia"/>
          <w:noProof/>
          <w:sz w:val="16"/>
          <w:szCs w:val="16"/>
        </w:rPr>
        <w:t>相關數據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資料公佈後，美債價格走低，美股漲跌互現，美元指數走高。</w:t>
      </w:r>
    </w:p>
    <w:p w:rsidR="003260F6" w:rsidRPr="008A3FD7" w:rsidRDefault="008A3FD7" w:rsidP="008A3FD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334B37" wp14:editId="2ED959AB">
                <wp:simplePos x="0" y="0"/>
                <wp:positionH relativeFrom="column">
                  <wp:posOffset>-84455</wp:posOffset>
                </wp:positionH>
                <wp:positionV relativeFrom="paragraph">
                  <wp:posOffset>739880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9077366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9183577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9077366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58.25pt;width:268.85pt;height:43pt;z-index:251686912;mso-width-relative:margin;mso-height-relative:margin" coordorigin="-580,90773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">
                <v:shape id="手繪多邊形 13" o:spid="_x0000_s1030" style="position:absolute;left:-194;top:9183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90773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根據英國財政大臣哈蒙德的最新預算報告，</w:t>
      </w:r>
      <w:bookmarkStart w:id="0" w:name="_GoBack"/>
      <w:bookmarkEnd w:id="0"/>
      <w:r w:rsidRPr="008A3FD7">
        <w:rPr>
          <w:rFonts w:asciiTheme="minorHAnsi" w:eastAsia="標楷體" w:hAnsiTheme="minorHAnsi" w:hint="eastAsia"/>
          <w:noProof/>
          <w:sz w:val="16"/>
          <w:szCs w:val="16"/>
        </w:rPr>
        <w:t>儘管英國經濟迄今表現不錯，但在未來數年可能更明顯地感受到退歐之痛；哈蒙德希望通過此預算計畫引導經濟在退歐之路前進</w:t>
      </w:r>
      <w:r>
        <w:rPr>
          <w:rFonts w:asciiTheme="minorHAnsi" w:eastAsia="標楷體" w:hAnsiTheme="minorHAnsi" w:hint="eastAsia"/>
          <w:noProof/>
          <w:sz w:val="16"/>
          <w:szCs w:val="16"/>
        </w:rPr>
        <w:t>，並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表示英國經濟抵擋住了公投退歐的衝擊，</w:t>
      </w:r>
      <w:r>
        <w:rPr>
          <w:rFonts w:asciiTheme="minorHAnsi" w:eastAsia="標楷體" w:hAnsiTheme="minorHAnsi" w:hint="eastAsia"/>
          <w:noProof/>
          <w:sz w:val="16"/>
          <w:szCs w:val="16"/>
        </w:rPr>
        <w:t>且</w:t>
      </w:r>
      <w:r w:rsidRPr="008A3FD7">
        <w:rPr>
          <w:rFonts w:asciiTheme="minorHAnsi" w:eastAsia="標楷體" w:hAnsiTheme="minorHAnsi" w:hint="eastAsia"/>
          <w:noProof/>
          <w:sz w:val="16"/>
          <w:szCs w:val="16"/>
        </w:rPr>
        <w:t>他將堅守縮減預算赤字的計畫。</w:t>
      </w:r>
    </w:p>
    <w:p w:rsidR="007B3E7F" w:rsidRDefault="007B3E7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台幣兌美元週三由升轉跌，中止連兩日漲勢。由於美國將在週五公佈非農就業報告，市場交投轉趨謹慎，加以台幣趨升靠向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30.800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暫且需要消化進口商及油款的美元買需，令台幣升幅全數吐回，短線料台幣續在既有區間橫向整理，靜待非農就業資料。儘管有外資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點進行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FIXING(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定價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交易引領台幣區間偏升，但隨著進口商進場買匯、海外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NDF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各種天期美元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台幣換匯點折價幅度同步縮減及主要亞幣升幅收斂，此皆使台幣偏多操作力道卻步，畢竟美國非農就業資料只是前菜，重頭戲仍為下周登場的美聯儲利率決策，後續料市場觀望氣氛將漸濃。今日台幣主要交易區間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30.900- 31.100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台灣銀行間短率周三續處低檔。資金偏多，新增需求不強，市場密切注意下周三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(15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日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美聯儲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利率決策。人民幣市場部分，隔拆利率在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1.50%-1.80%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 xml:space="preserve"> 2,089 -2,275</w:t>
      </w:r>
      <w:r w:rsidR="00F97D02" w:rsidRPr="00F97D0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04D5B" w:rsidRPr="00804D5B" w:rsidRDefault="00BC0912" w:rsidP="00804D5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週三美國公佈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ADP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就業報告強於市場預期，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月就業人數大幅增加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29.8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萬人，市場預估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18.7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萬人，數據強勁加深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 xml:space="preserve">3 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月份升息預期使得美債利率反彈，美債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4.2bps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2.560%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2.8bps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3.149%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，今日美國關注初請失業金數據，短線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升息機率大幅提高，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年券不排除向上測試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2.60%</w:t>
      </w:r>
      <w:r w:rsidR="008A3FD7" w:rsidRPr="008A3FD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週三離岸人民幣匯率進一步走貶，受到國際美元走強與昨日中國公佈出口數據弱於市場影響，離岸人民幣匯率一路向上貶破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，最高來到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6.9215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三月份會議升息機率大幅提升，短離岸人民幣匯率貶值走勢持續。換匯點下滑，一個月升至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200(+20)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2270(+140)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。人民幣匯率期貨市場週三成交量小幅升至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1,589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0.512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3,863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1.351</w:t>
      </w:r>
      <w:r w:rsidR="00D57266" w:rsidRPr="00D57266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3E4D33">
        <w:trPr>
          <w:trHeight w:val="345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E4D33" w:rsidRPr="0066355B" w:rsidTr="003E4D33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172.50b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-60.36b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66355B" w:rsidRDefault="003E4D33" w:rsidP="006635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354.50b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23.10%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44.70%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25.20%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14.60%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4.20%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15.90%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14.00%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-1.30%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7.90%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38.10%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16.70%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$27.00b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-$9.15b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$51.35b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3-Mar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ADP 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就業變動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187k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298k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246k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非農業生產力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4Q F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03/08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單位勞工成本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4Q F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7.70%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7.80%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6.90%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4-Mar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238k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223k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25-Feb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2062k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2066k</w:t>
            </w:r>
          </w:p>
        </w:tc>
      </w:tr>
      <w:tr w:rsidR="003E4D33" w:rsidRPr="003E4D33" w:rsidTr="003E4D33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03/09-03/18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-4.20%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D33" w:rsidRPr="003E4D33" w:rsidRDefault="003E4D33" w:rsidP="003E4D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4D33">
              <w:rPr>
                <w:rFonts w:ascii="Tahoma" w:hAnsi="Tahoma" w:cs="Tahoma" w:hint="eastAsia"/>
                <w:color w:val="000000"/>
                <w:sz w:val="20"/>
                <w:szCs w:val="20"/>
              </w:rPr>
              <w:t>-9.20%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DC2"/>
    <w:rsid w:val="001B015E"/>
    <w:rsid w:val="001B0D48"/>
    <w:rsid w:val="001B1F95"/>
    <w:rsid w:val="001B2C0F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4D5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95DD-6938-44AB-98F3-4A5061D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14</cp:revision>
  <cp:lastPrinted>2015-08-07T06:27:00Z</cp:lastPrinted>
  <dcterms:created xsi:type="dcterms:W3CDTF">2017-03-09T01:44:00Z</dcterms:created>
  <dcterms:modified xsi:type="dcterms:W3CDTF">2017-03-09T03:45:00Z</dcterms:modified>
</cp:coreProperties>
</file>