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93086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993086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30.458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6.9085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6.8863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6.8723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6.8684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111.71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112.87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111.55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1.0811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1.0719</w:t>
            </w:r>
          </w:p>
        </w:tc>
      </w:tr>
      <w:tr w:rsidR="002D15FD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0.7691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0.7683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2D15FD">
              <w:rPr>
                <w:rFonts w:hint="eastAsia"/>
                <w:color w:val="FF0000"/>
              </w:rPr>
              <w:t>-0.004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0.00155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4.5687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0.0779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5.0027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0.0804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0.8759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-0.0088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-0.0125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-0.0188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-0.017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2.6477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0.0152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4.3558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0.0386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4.3846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0.0135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 w:rsidRPr="002D15FD">
              <w:rPr>
                <w:rFonts w:hint="eastAsia"/>
                <w:color w:val="FF0000"/>
              </w:rPr>
              <w:t>-0.007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0.92644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0.00222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0.00444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2.4175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-0.045</w:t>
            </w:r>
          </w:p>
        </w:tc>
      </w:tr>
      <w:tr w:rsidR="002D15FD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3.0343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-0.0444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D15FD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50.96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-0.01</w:t>
            </w:r>
          </w:p>
        </w:tc>
      </w:tr>
      <w:tr w:rsidR="002D15FD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48.24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15FD" w:rsidRPr="002D15FD" w:rsidRDefault="002D15FD" w:rsidP="002D15F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D15FD">
              <w:rPr>
                <w:rFonts w:hint="eastAsia"/>
                <w:color w:val="FF0000"/>
              </w:rPr>
              <w:t>-0.04</w:t>
            </w:r>
          </w:p>
        </w:tc>
      </w:tr>
      <w:tr w:rsidR="002D15FD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15FD" w:rsidRPr="00915E2A" w:rsidRDefault="002D15F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1244.81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15FD" w:rsidRDefault="002D15FD" w:rsidP="002D15F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1.22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B2589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20668.01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-237.85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5793.825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-107.704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2344.02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-29.45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11962.13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-90.77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3403.974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11.309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24501.99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91.13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9972.49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000000" w:themeColor="text1"/>
              </w:rPr>
              <w:t>59.52</w:t>
            </w:r>
          </w:p>
        </w:tc>
      </w:tr>
      <w:tr w:rsidR="002B2589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19455.88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-290.35</w:t>
            </w:r>
          </w:p>
        </w:tc>
      </w:tr>
      <w:tr w:rsidR="002B2589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B2589" w:rsidRPr="00915E2A" w:rsidRDefault="002B258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B2589" w:rsidRDefault="002B2589" w:rsidP="002B258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2178.38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2589" w:rsidRPr="002B2589" w:rsidRDefault="002B2589" w:rsidP="002B258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 w:rsidRPr="002B2589">
              <w:rPr>
                <w:rFonts w:hint="eastAsia"/>
                <w:color w:val="FF0000"/>
              </w:rPr>
              <w:t>-10.54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CF3828" w:rsidRPr="00E81EE2" w:rsidRDefault="005F3440" w:rsidP="005F344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英國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月通脹率超過了英國央行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2%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的目標，這是自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2013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年底以來的首次，通脹料將進一步上升，因英國退歐打壓了英鎊，且全球油價上行。英國國家統計局公布，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月消費者物價指數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(CPI)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較上年同期增長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2.3%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，增幅高於預期，創下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2013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9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月以來最高升幅，且遠高於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1.8%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的升幅。英國國家統計局表示，受燃料價格上漲推動，交通運輸成本增加，這是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5F3440">
        <w:rPr>
          <w:rFonts w:asciiTheme="minorHAnsi" w:eastAsia="標楷體" w:hAnsiTheme="minorHAnsi" w:hint="eastAsia"/>
          <w:noProof/>
          <w:sz w:val="16"/>
          <w:szCs w:val="16"/>
        </w:rPr>
        <w:t>月通脹的最大驅動力。</w:t>
      </w:r>
    </w:p>
    <w:p w:rsidR="00C22FA3" w:rsidRPr="00C22FA3" w:rsidRDefault="00C22FA3" w:rsidP="005F344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D82938" wp14:editId="77B234DD">
                <wp:simplePos x="0" y="0"/>
                <wp:positionH relativeFrom="column">
                  <wp:posOffset>-86360</wp:posOffset>
                </wp:positionH>
                <wp:positionV relativeFrom="paragraph">
                  <wp:posOffset>1131842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95650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701861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9565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89.1pt;width:268.85pt;height:43pt;z-index:251686912;mso-width-relative:margin;mso-height-relative:margin" coordorigin="-624,95956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">
                <v:shape id="手繪多邊形 13" o:spid="_x0000_s1030" style="position:absolute;left:-239;top:97018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956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3440" w:rsidRPr="005F3440">
        <w:rPr>
          <w:rFonts w:asciiTheme="minorHAnsi" w:eastAsia="標楷體" w:hAnsiTheme="minorHAnsi" w:hint="eastAsia"/>
          <w:noProof/>
          <w:sz w:val="16"/>
          <w:szCs w:val="16"/>
        </w:rPr>
        <w:t>美國克利夫蘭聯儲總裁梅斯特表示，如果經濟數據良好，她將支持美聯儲今年調整政策，開始削減其</w:t>
      </w:r>
      <w:r w:rsidR="005F3440" w:rsidRPr="005F3440">
        <w:rPr>
          <w:rFonts w:asciiTheme="minorHAnsi" w:eastAsia="標楷體" w:hAnsiTheme="minorHAnsi" w:hint="eastAsia"/>
          <w:noProof/>
          <w:sz w:val="16"/>
          <w:szCs w:val="16"/>
        </w:rPr>
        <w:t>4.5</w:t>
      </w:r>
      <w:r w:rsidR="005F3440" w:rsidRPr="005F3440">
        <w:rPr>
          <w:rFonts w:asciiTheme="minorHAnsi" w:eastAsia="標楷體" w:hAnsiTheme="minorHAnsi" w:hint="eastAsia"/>
          <w:noProof/>
          <w:sz w:val="16"/>
          <w:szCs w:val="16"/>
        </w:rPr>
        <w:t>萬億美元的資產負債表。梅斯特補充道，這樣的舉措符合美聯儲一再重申的論調，即該行將在利率正常化的過程中，考慮降低資產負債表的規模。梅斯特稱儘管她並不預期美聯儲在每次會議上都會升息，但如果經濟保持強勁，升息速度不應該像過去兩年那樣每年升息一次的慢速。</w:t>
      </w:r>
    </w:p>
    <w:p w:rsidR="00CF3828" w:rsidRPr="00E81EE2" w:rsidRDefault="00CF3828" w:rsidP="005F344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E81EE2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7B3E7F" w:rsidRPr="000C6E8B" w:rsidRDefault="007B3E7F" w:rsidP="000C6E8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bookmarkStart w:id="0" w:name="_GoBack"/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台幣兌美元市場週二連續第五個交易日走升創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29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個月高位，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過後國際美元延續疲弱走勢，加上外資持續匯入股匯市齊揚，昨日台幣最高升至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，晚間美股大跌，今日預估台幣匯率將可能小幅回貶，後續仍關注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價位是否突破，今日台幣交投區間預估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30.450~30.550</w:t>
      </w:r>
      <w:r w:rsidR="00DB058B" w:rsidRPr="00DB058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台灣銀行間短率周二持平。各大型銀行大都可以做跨季拆款，且因市場資金持續寬鬆，需求不大，利率均與前一日水準相同。人民幣市場部分，隔拆利率在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1.80%-2.40%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 xml:space="preserve"> 1,980 -2,080</w:t>
      </w:r>
      <w:r w:rsidR="00296C1F" w:rsidRPr="00296C1F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E20635" w:rsidRPr="00E2063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二美國無重要經濟數據公佈，但受到美股昨日為今年以來最大跌幅影響，市場避險資金湧入債市帶動美債利率走跌，終場美債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4.3bps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2.417%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4.3bps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3.034%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，今日美國將公佈成屋銷售數據，市場預估下滑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2.5%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，短線美債利率無突破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2.40%~2.60%</w:t>
      </w:r>
      <w:r w:rsidR="00275433" w:rsidRPr="00275433">
        <w:rPr>
          <w:rFonts w:asciiTheme="minorHAnsi" w:eastAsia="標楷體" w:hAnsiTheme="minorHAnsi" w:hint="eastAsia"/>
          <w:noProof/>
          <w:sz w:val="16"/>
          <w:szCs w:val="16"/>
        </w:rPr>
        <w:t>前，操作暫以區間操作為宜。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32861" w:rsidRPr="00032861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二離岸人民幣匯率亞洲盤先貶後升，整體介於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6.89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上下整理，歐洲盤後人民幣大幅走升，晚間一度升破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，目前國際美元走弱，人民幣貶值力道趨緩，後續關注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關卡是否再次站上，短線走勢維持橫盤整理。離岸人民幣換匯點小幅上升，一個月升至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225(+62)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2079(+51)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。人民幣匯率期貨市場週二成交量升至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1,269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0.4842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3,465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1.223</w:t>
      </w:r>
      <w:r w:rsidR="00736EB5" w:rsidRPr="00736EB5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51F14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經常帳餘額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-$129.0b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-$112.4b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-$113.0b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17-Mar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FHFA</w:t>
            </w: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房價指數月比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5.55m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5.69m</w:t>
            </w:r>
          </w:p>
        </w:tc>
      </w:tr>
      <w:tr w:rsidR="00E672DC" w:rsidRPr="00E672DC" w:rsidTr="00E672DC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672DC" w:rsidRPr="00E672DC" w:rsidRDefault="00E672DC" w:rsidP="00E67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-2.50%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72DC" w:rsidRPr="00E672DC" w:rsidRDefault="00E672DC" w:rsidP="00E672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72DC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6F1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3AC"/>
    <w:rsid w:val="00305A23"/>
    <w:rsid w:val="00305CC5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B3F6-0F40-4907-97EE-D1C0C498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16</cp:revision>
  <cp:lastPrinted>2015-08-07T06:27:00Z</cp:lastPrinted>
  <dcterms:created xsi:type="dcterms:W3CDTF">2017-03-22T01:17:00Z</dcterms:created>
  <dcterms:modified xsi:type="dcterms:W3CDTF">2017-03-22T02:06:00Z</dcterms:modified>
</cp:coreProperties>
</file>