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3E7F" wp14:editId="33227E4E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3D36" wp14:editId="11BC3369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B867" wp14:editId="0EFE0BD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1897A3" wp14:editId="217E16F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3D7E5" wp14:editId="2EBE680D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A77F0" wp14:editId="7BC81B62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666A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666A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21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7FB4" wp14:editId="2162F508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0666AB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30.408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30.391</w:t>
            </w:r>
          </w:p>
        </w:tc>
      </w:tr>
      <w:tr w:rsidR="000666AB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6.8815</w:t>
            </w:r>
          </w:p>
        </w:tc>
      </w:tr>
      <w:tr w:rsidR="000666AB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6.8845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6.8787</w:t>
            </w:r>
          </w:p>
        </w:tc>
      </w:tr>
      <w:tr w:rsidR="000666AB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109.32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108.72</w:t>
            </w:r>
          </w:p>
        </w:tc>
      </w:tr>
      <w:tr w:rsidR="000666AB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1.0717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1.0709</w:t>
            </w:r>
          </w:p>
        </w:tc>
      </w:tr>
      <w:tr w:rsidR="000666AB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0.7527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0.7493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-0.001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0.00011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3.9879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0.1119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4.4229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0.0389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0.7839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0.0064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0.965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0.005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-0.0045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-0.005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2.5987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0.0237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0.0042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4.2725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0.0064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3.393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0.19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3.435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1.15567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-0.00055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2.232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0.0248</w:t>
            </w:r>
          </w:p>
        </w:tc>
      </w:tr>
      <w:tr w:rsidR="000666AB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2.8822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0.0139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666AB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52.99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0.07</w:t>
            </w:r>
          </w:p>
        </w:tc>
      </w:tr>
      <w:tr w:rsidR="000666AB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50.71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0.08</w:t>
            </w:r>
          </w:p>
        </w:tc>
      </w:tr>
      <w:tr w:rsidR="000666AB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1281.9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-0.74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666AB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20578.71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174.22</w:t>
            </w:r>
          </w:p>
        </w:tc>
      </w:tr>
      <w:tr w:rsidR="000666AB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5916.777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53.743</w:t>
            </w:r>
          </w:p>
        </w:tc>
      </w:tr>
      <w:tr w:rsidR="000666AB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2355.84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17.67</w:t>
            </w:r>
          </w:p>
        </w:tc>
      </w:tr>
      <w:tr w:rsidR="000666AB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12027.32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10.87</w:t>
            </w:r>
          </w:p>
        </w:tc>
      </w:tr>
      <w:tr w:rsidR="000666AB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3320.23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0666AB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24057.21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-31.25</w:t>
            </w:r>
          </w:p>
        </w:tc>
      </w:tr>
      <w:tr w:rsidR="000666AB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9632.69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-7.25</w:t>
            </w:r>
          </w:p>
        </w:tc>
      </w:tr>
      <w:tr w:rsidR="000666AB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18430.49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-1.71</w:t>
            </w:r>
          </w:p>
        </w:tc>
      </w:tr>
      <w:tr w:rsidR="000666AB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666AB" w:rsidRPr="00915E2A" w:rsidRDefault="00066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2149.15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66AB" w:rsidRDefault="000666AB" w:rsidP="00066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10.75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AF71FF" w:rsidRDefault="00AF71FF" w:rsidP="003D5F59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德國財政部表示，德國經濟好轉勢頭今年第一季可能加快，推動稅收增長超過預期。財政部月報中稱，最近的產出數據、未來訂單以及不斷增長的就業，都表明今年前三個月經濟活動加速。</w:t>
      </w:r>
    </w:p>
    <w:p w:rsidR="003F528F" w:rsidRDefault="00AF71FF" w:rsidP="00AF71FF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美國上周初請失業金人數增加</w:t>
      </w: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10,000</w:t>
      </w: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人，經季節調整後至</w:t>
      </w: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24.4</w:t>
      </w: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萬人，增幅略高於預期，但續請失業金人數則降至</w:t>
      </w: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17</w:t>
      </w: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年低位，表明勞動力市場持續緊俏。</w:t>
      </w:r>
    </w:p>
    <w:p w:rsidR="007A64EF" w:rsidRPr="007A64EF" w:rsidRDefault="00AF71FF" w:rsidP="007A64EF">
      <w:pPr>
        <w:spacing w:line="32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F33CA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FFA0DD1" wp14:editId="76F0F22D">
                <wp:simplePos x="0" y="0"/>
                <wp:positionH relativeFrom="column">
                  <wp:posOffset>-84455</wp:posOffset>
                </wp:positionH>
                <wp:positionV relativeFrom="paragraph">
                  <wp:posOffset>12065</wp:posOffset>
                </wp:positionV>
                <wp:extent cx="3414395" cy="582295"/>
                <wp:effectExtent l="0" t="0" r="71755" b="844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82295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.95pt;width:268.85pt;height:45.85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5F59" w:rsidRPr="003D5F59" w:rsidRDefault="003D5F59" w:rsidP="003D5F59">
      <w:pPr>
        <w:pStyle w:val="a5"/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AF71FF" w:rsidRDefault="00AF71FF" w:rsidP="001A3CD6">
      <w:pPr>
        <w:spacing w:line="34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470A30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台幣兌美元週四隨韓元略收升。台幣成交量</w:t>
      </w:r>
      <w:bookmarkStart w:id="0" w:name="_GoBack"/>
      <w:bookmarkEnd w:id="0"/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能偏少且一直在平盤附近盤整，未見明確方向，台股也未見大幅漲跌，市場觀望週末法國選舉結果的氣氛相當濃厚。外商銀未見特定方向，昨日買賣美元都有，不過出口商的拋匯量稍大，因此美元高位倒也有限。台股近期方向並不明確，但目前股市陷於一個月低檔，恐怕後續若未有外資大幅進場，也難有大升的動力。至於法國撲朔迷離的總統大選選情，則令市場更加保守觀望。預計今日交易區間在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30.350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～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30.500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台灣銀行間短率周四持穩低位。經過提存期初以來一輪調整後，縱然市場資金仍舊充沛，但短率大致已經穩在低位，除了到期續作外，新增需求仍低。人民幣市場部分，隔夜價格在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1.80%-2.40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 xml:space="preserve"> 1,730 -1,740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週四美國公佈數據好壞不一，初請失業金人數小幅增加，但續請失業金人數縮減至近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17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年新低，顯示美國目前就業市場依舊穩健，而昨日美債市場受美股上漲激勵彈升，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年期美債利率小幅上揚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1.8bps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2.232%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年期美債利率小幅上揚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1bps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2.882%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，今日美國關注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Markit PMI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與成屋銷售公佈，短線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年券未突破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2.30%</w:t>
      </w:r>
      <w:r w:rsidR="000666AB" w:rsidRPr="000666AB">
        <w:rPr>
          <w:rFonts w:asciiTheme="minorHAnsi" w:eastAsia="標楷體" w:hAnsiTheme="minorHAnsi" w:hint="eastAsia"/>
          <w:noProof/>
          <w:sz w:val="16"/>
          <w:szCs w:val="16"/>
        </w:rPr>
        <w:t>前建議逢高邊多操作。</w:t>
      </w:r>
    </w:p>
    <w:p w:rsidR="00FE4CDC" w:rsidRPr="00584250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BD0B67" w:rsidRDefault="00BC0912" w:rsidP="001A3CD6">
      <w:pPr>
        <w:spacing w:line="34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人民幣兌美元即期週四小幅收升，中間價明顯回落。昨日中間價跌幅遠小於預期，估計監管啟動了過濾機制，這也凸顯監管維穩意圖，不希望人民幣因購匯需求出清而下跌；午後歐元上漲壓低美元指數，進而提振人民幣走勢，近期的實需還是蠻多，但大行適度提供美元流動性，令美元兌人民幣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6.89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上方阻力依然明顯。而外管局最新公佈的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月結售匯資料整體良好，結合近期監管放鬆管制舉措，預計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月資料也或繼續趨於平衡，資金外流壓力有望進一步緩解。換匯點一個月小幅降至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(-13)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，一年期亦下滑至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1705(-33)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。人民幣匯率期貨市場週四成交量為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706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0.2236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億美元，留倉口數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2,719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1.0022</w:t>
      </w:r>
      <w:r w:rsidR="00AF71FF" w:rsidRPr="00AF71FF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0666AB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出口訂單(年比)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8.80%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12.30%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22.00%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15-Apr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240k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244k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234k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8-Apr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2024k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1979k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2028k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費城聯</w:t>
            </w:r>
            <w:proofErr w:type="gramStart"/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企業展望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32.8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領先指數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0.60%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spellStart"/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53.3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spellStart"/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52.8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spellStart"/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53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成屋銷售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5.60m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5.48m</w:t>
            </w:r>
          </w:p>
        </w:tc>
      </w:tr>
      <w:tr w:rsidR="000666AB" w:rsidRPr="000666AB" w:rsidTr="000666AB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666AB" w:rsidRPr="000666AB" w:rsidRDefault="000666AB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0666A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成屋銷售 (月比)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666AB" w:rsidRPr="000666AB" w:rsidRDefault="000666AB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66AB">
              <w:rPr>
                <w:rFonts w:ascii="Tahoma" w:hAnsi="Tahoma" w:cs="Tahoma" w:hint="eastAsia"/>
                <w:color w:val="000000"/>
                <w:sz w:val="20"/>
                <w:szCs w:val="20"/>
              </w:rPr>
              <w:t>-3.70%</w:t>
            </w:r>
          </w:p>
        </w:tc>
      </w:tr>
    </w:tbl>
    <w:p w:rsidR="0073278A" w:rsidRPr="003342FC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2" w:rsidRDefault="00D645B2" w:rsidP="00AC6532">
      <w:r>
        <w:separator/>
      </w:r>
    </w:p>
  </w:endnote>
  <w:endnote w:type="continuationSeparator" w:id="0">
    <w:p w:rsidR="00D645B2" w:rsidRDefault="00D645B2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2" w:rsidRDefault="00D645B2" w:rsidP="00AC6532">
      <w:r>
        <w:separator/>
      </w:r>
    </w:p>
  </w:footnote>
  <w:footnote w:type="continuationSeparator" w:id="0">
    <w:p w:rsidR="00D645B2" w:rsidRDefault="00D645B2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6AB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3CD6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224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BE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57954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5F59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528F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4AC5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4EF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1DC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44E1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1FF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65C9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45B2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E5A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87A46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58B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3CAB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C59F-32DE-4ACD-AC8C-62789203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林紹寬</cp:lastModifiedBy>
  <cp:revision>2</cp:revision>
  <cp:lastPrinted>2015-08-07T06:27:00Z</cp:lastPrinted>
  <dcterms:created xsi:type="dcterms:W3CDTF">2017-04-21T01:51:00Z</dcterms:created>
  <dcterms:modified xsi:type="dcterms:W3CDTF">2017-04-21T01:51:00Z</dcterms:modified>
</cp:coreProperties>
</file>